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Employer's Risks Notice (FIDIC 17.3 + 17.4)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under Sub-Clause 17.4 and Notice of Claim under Sub-Clause 20.1</w:t>
      </w:r>
    </w:p>
    <w:p/>
    <w:p>
      <w:r>
        <w:t xml:space="preserve">The Contractor gives notice under Sub-Clause 17.4 of the Conditions of Contract that loss and/or damage has occurred to [the Works / Goods / Contractor's Documents] arising from a risk listed in Sub-Clause 17.3.</w:t>
      </w:r>
    </w:p>
    <w:p/>
    <w:p>
      <w:r>
        <w:t xml:space="preserve">The event occurred on [date], and is as follows: [factual description of the event and of the loss or damage caused]. The Contractor considers the event to fall under Sub-Clause 17.3[( )] — [identify the listed risk, e.g., use or occupation by the Employer of part of the Permanent Works / design of the Works by the Employer].</w:t>
      </w:r>
    </w:p>
    <w:p/>
    <w:p>
      <w:r>
        <w:t xml:space="preserve">The Contractor will rectify the loss and damage to the extent required by the Engineer, and gives notice of claim under Sub-Clause 20.1 for an Extension of Time and payment of the Cost of rectification [plus reasonable profit, where the risk falls under Sub-Clause 17.3(f) or (g)].</w:t>
      </w:r>
    </w:p>
    <w:p/>
    <w:p>
      <w:r>
        <w:t xml:space="preserve">Detailed particulars will be submitted within [42] days in accordance with the Contract, or sooner if practicable. Contemporary records of the loss, damage, and rectification works are being maintained.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